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AD" w:rsidRDefault="00E62BAD" w:rsidP="00E62BAD">
      <w:pPr>
        <w:pStyle w:val="a5"/>
        <w:spacing w:before="0" w:beforeAutospacing="0" w:after="0" w:afterAutospacing="0"/>
        <w:jc w:val="center"/>
        <w:rPr>
          <w:b/>
          <w:lang w:val="uk-UA"/>
        </w:rPr>
      </w:pPr>
      <w:r>
        <w:rPr>
          <w:b/>
          <w:lang w:val="uk-UA"/>
        </w:rPr>
        <w:t>Керівникам неприбуткових установ та організацій</w:t>
      </w:r>
    </w:p>
    <w:p w:rsidR="00E62BAD" w:rsidRDefault="00E62BAD" w:rsidP="00E62BAD">
      <w:pPr>
        <w:pStyle w:val="a5"/>
        <w:spacing w:before="0" w:beforeAutospacing="0" w:after="0" w:afterAutospacing="0"/>
        <w:jc w:val="both"/>
        <w:rPr>
          <w:lang w:val="uk-UA"/>
        </w:rPr>
      </w:pPr>
      <w:r>
        <w:rPr>
          <w:lang w:val="uk-UA"/>
        </w:rPr>
        <w:tab/>
        <w:t xml:space="preserve">На численні запити Державна фіскальна служба України надає роз’яснення щодо включення комунальних некомерційних підприємств до Реєстру неприбуткових установ та організацій (далі – Реєстр). </w:t>
      </w:r>
    </w:p>
    <w:p w:rsidR="00E62BAD" w:rsidRDefault="00E62BAD" w:rsidP="00E62BAD">
      <w:pPr>
        <w:pStyle w:val="a5"/>
        <w:spacing w:before="0" w:beforeAutospacing="0" w:after="0" w:afterAutospacing="0"/>
        <w:ind w:firstLine="709"/>
        <w:jc w:val="both"/>
        <w:rPr>
          <w:lang w:val="uk-UA"/>
        </w:rPr>
      </w:pPr>
      <w:r>
        <w:rPr>
          <w:lang w:val="uk-UA"/>
        </w:rPr>
        <w:t xml:space="preserve">Пунктом 133.4 статті 133 Податкового кодексу України (далі – Кодекс) визначено порядок та умови, у разі дотримання яких неприбуткові підприємства, установи та організації (далі – неприбуткові організації) не є платниками податку на прибуток підприємств. Контролюючий орган здійснює включення неприбуткової організації до Реєстру у разі їх відповідності зазначеним вище вимогам пункту 133.4 статті 133 Кодексу. </w:t>
      </w:r>
    </w:p>
    <w:p w:rsidR="00E62BAD" w:rsidRDefault="00E62BAD" w:rsidP="00E62BAD">
      <w:pPr>
        <w:pStyle w:val="a5"/>
        <w:spacing w:before="0" w:beforeAutospacing="0" w:after="0" w:afterAutospacing="0"/>
        <w:ind w:firstLine="709"/>
        <w:jc w:val="both"/>
        <w:rPr>
          <w:lang w:val="uk-UA"/>
        </w:rPr>
      </w:pPr>
      <w:r>
        <w:rPr>
          <w:lang w:val="uk-UA"/>
        </w:rPr>
        <w:t xml:space="preserve">Відповідно до статті 62 Господарського кодексу України (далі – ГКУ) підприємство –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ГКУ та іншими законами. </w:t>
      </w:r>
    </w:p>
    <w:p w:rsidR="00E62BAD" w:rsidRDefault="00E62BAD" w:rsidP="00E62BAD">
      <w:pPr>
        <w:pStyle w:val="a5"/>
        <w:spacing w:before="0" w:beforeAutospacing="0" w:after="0" w:afterAutospacing="0"/>
        <w:ind w:firstLine="709"/>
        <w:jc w:val="both"/>
        <w:rPr>
          <w:lang w:val="uk-UA"/>
        </w:rPr>
      </w:pPr>
      <w:r>
        <w:rPr>
          <w:lang w:val="uk-UA"/>
        </w:rPr>
        <w:t xml:space="preserve">Підприємства можуть створюватись як для здійснення підприємництва, так і для некомерційної господарської діяльності. Залежно від форм власності, передбачених законом, в Україні можуть діяти підприємства, зокрема таких видів: </w:t>
      </w:r>
    </w:p>
    <w:p w:rsidR="00E62BAD" w:rsidRDefault="00E62BAD" w:rsidP="00E62BAD">
      <w:pPr>
        <w:pStyle w:val="a5"/>
        <w:spacing w:before="0" w:beforeAutospacing="0" w:after="0" w:afterAutospacing="0"/>
        <w:jc w:val="both"/>
        <w:rPr>
          <w:lang w:val="uk-UA"/>
        </w:rPr>
      </w:pPr>
      <w:r>
        <w:rPr>
          <w:lang w:val="uk-UA"/>
        </w:rPr>
        <w:t xml:space="preserve">- комунальне підприємство, що діє на основі комунальної власності територіальної громади; </w:t>
      </w:r>
    </w:p>
    <w:p w:rsidR="00E62BAD" w:rsidRDefault="00E62BAD" w:rsidP="00E62BAD">
      <w:pPr>
        <w:pStyle w:val="a5"/>
        <w:spacing w:before="0" w:beforeAutospacing="0" w:after="0" w:afterAutospacing="0"/>
        <w:jc w:val="both"/>
        <w:rPr>
          <w:lang w:val="uk-UA"/>
        </w:rPr>
      </w:pPr>
      <w:r>
        <w:rPr>
          <w:lang w:val="uk-UA"/>
        </w:rPr>
        <w:t xml:space="preserve">- спільне 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 (стаття 63 ГКУ). </w:t>
      </w:r>
    </w:p>
    <w:p w:rsidR="00E62BAD" w:rsidRDefault="00E62BAD" w:rsidP="00E62BAD">
      <w:pPr>
        <w:pStyle w:val="a5"/>
        <w:spacing w:before="0" w:beforeAutospacing="0" w:after="0" w:afterAutospacing="0"/>
        <w:ind w:firstLine="709"/>
        <w:jc w:val="both"/>
        <w:rPr>
          <w:lang w:val="uk-UA"/>
        </w:rPr>
      </w:pPr>
      <w:r>
        <w:rPr>
          <w:lang w:val="uk-UA"/>
        </w:rPr>
        <w:t xml:space="preserve">Відповідно до статті 52 ГКУ 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w:t>
      </w:r>
    </w:p>
    <w:p w:rsidR="00E62BAD" w:rsidRDefault="00E62BAD" w:rsidP="00E62BAD">
      <w:pPr>
        <w:pStyle w:val="a5"/>
        <w:spacing w:before="0" w:beforeAutospacing="0" w:after="0" w:afterAutospacing="0"/>
        <w:jc w:val="both"/>
        <w:rPr>
          <w:lang w:val="uk-UA"/>
        </w:rPr>
      </w:pPr>
      <w:r>
        <w:rPr>
          <w:lang w:val="uk-UA"/>
        </w:rPr>
        <w:t xml:space="preserve">   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відповідно до статті 12 ГКУ забороняється підприємництво, на основі рішення відповідного органу державної влади чи органу місцевого самоврядування. </w:t>
      </w:r>
    </w:p>
    <w:p w:rsidR="00E62BAD" w:rsidRDefault="00E62BAD" w:rsidP="00E62BAD">
      <w:pPr>
        <w:pStyle w:val="a5"/>
        <w:spacing w:before="0" w:beforeAutospacing="0" w:after="0" w:afterAutospacing="0"/>
        <w:ind w:firstLine="709"/>
        <w:jc w:val="both"/>
        <w:rPr>
          <w:lang w:val="uk-UA"/>
        </w:rPr>
      </w:pPr>
      <w:r>
        <w:rPr>
          <w:lang w:val="uk-UA"/>
        </w:rPr>
        <w:t xml:space="preserve">Статтею 53 ГКУ передбачено, що 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ГКУ та іншими законами. </w:t>
      </w:r>
    </w:p>
    <w:p w:rsidR="00E62BAD" w:rsidRDefault="00E62BAD" w:rsidP="00E62BAD">
      <w:pPr>
        <w:pStyle w:val="a5"/>
        <w:spacing w:before="0" w:beforeAutospacing="0" w:after="0" w:afterAutospacing="0"/>
        <w:ind w:firstLine="709"/>
        <w:jc w:val="both"/>
        <w:rPr>
          <w:lang w:val="uk-UA"/>
        </w:rPr>
      </w:pPr>
      <w:r>
        <w:rPr>
          <w:lang w:val="uk-UA"/>
        </w:rPr>
        <w:t xml:space="preserve">У разі якщо господарська діяльність юридичної особи, зареєстрованої як суб'єкт некомерційного господарювання, набуває характеру підприємницької діяльності, до неї застосовуються положення ГКУ та інших законів, якими регулюється підприємництво. </w:t>
      </w:r>
    </w:p>
    <w:p w:rsidR="00E62BAD" w:rsidRDefault="00E62BAD" w:rsidP="00E62BAD">
      <w:pPr>
        <w:pStyle w:val="1"/>
        <w:spacing w:before="0" w:after="0" w:line="240" w:lineRule="auto"/>
        <w:jc w:val="both"/>
        <w:rPr>
          <w:b w:val="0"/>
          <w:sz w:val="24"/>
          <w:szCs w:val="24"/>
          <w:lang w:val="uk-UA"/>
        </w:rPr>
      </w:pPr>
      <w:r>
        <w:rPr>
          <w:b w:val="0"/>
          <w:sz w:val="24"/>
          <w:szCs w:val="24"/>
          <w:lang w:val="uk-UA"/>
        </w:rPr>
        <w:tab/>
        <w:t xml:space="preserve">Детально із роз’ясненням ДФС  та Методичними рекомендаціями щодо державної реєстрації права господарського відання та права оперативного управління, схвалені Рішенням колегії Державної реєстраційної служби України 11 грудня 2012 року можна ознайомитись за посиланням: </w:t>
      </w:r>
      <w:hyperlink r:id="rId4" w:history="1">
        <w:r>
          <w:rPr>
            <w:rStyle w:val="a3"/>
            <w:b w:val="0"/>
            <w:sz w:val="24"/>
            <w:szCs w:val="24"/>
            <w:lang w:val="uk-UA"/>
          </w:rPr>
          <w:t>http://sfs.gov.ua/podatki-ta-zbori/zagalnoderjavni-podatki/podatok-na-pributok-pidpri/listi-dps/303550.html</w:t>
        </w:r>
      </w:hyperlink>
      <w:r>
        <w:rPr>
          <w:b w:val="0"/>
          <w:sz w:val="24"/>
          <w:szCs w:val="24"/>
          <w:lang w:val="uk-UA"/>
        </w:rPr>
        <w:t xml:space="preserve">. </w:t>
      </w:r>
    </w:p>
    <w:p w:rsidR="00161985" w:rsidRPr="00E62BAD" w:rsidRDefault="00161985">
      <w:pPr>
        <w:rPr>
          <w:lang w:val="uk-UA"/>
        </w:rPr>
      </w:pPr>
      <w:bookmarkStart w:id="0" w:name="_GoBack"/>
      <w:bookmarkEnd w:id="0"/>
    </w:p>
    <w:sectPr w:rsidR="00161985" w:rsidRPr="00E62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5E"/>
    <w:rsid w:val="00161985"/>
    <w:rsid w:val="0066145E"/>
    <w:rsid w:val="00E6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DCA03-5364-4E3C-898C-6B475C69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62BAD"/>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BAD"/>
    <w:rPr>
      <w:rFonts w:ascii="Cambria" w:eastAsia="Times New Roman" w:hAnsi="Cambria" w:cs="Times New Roman"/>
      <w:b/>
      <w:bCs/>
      <w:kern w:val="32"/>
      <w:sz w:val="32"/>
      <w:szCs w:val="32"/>
    </w:rPr>
  </w:style>
  <w:style w:type="character" w:styleId="a3">
    <w:name w:val="Hyperlink"/>
    <w:basedOn w:val="a0"/>
    <w:semiHidden/>
    <w:unhideWhenUsed/>
    <w:rsid w:val="00E62BAD"/>
    <w:rPr>
      <w:color w:val="0000FF"/>
      <w:u w:val="single"/>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5"/>
    <w:semiHidden/>
    <w:locked/>
    <w:rsid w:val="00E62BAD"/>
    <w:rPr>
      <w:sz w:val="24"/>
      <w:szCs w:val="24"/>
    </w:rPr>
  </w:style>
  <w:style w:type="paragraph" w:styleId="a5">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4"/>
    <w:semiHidden/>
    <w:unhideWhenUsed/>
    <w:rsid w:val="00E62BA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s.gov.ua/podatki-ta-zbori/zagalnoderjavni-podatki/podatok-na-pributok-pidpri/listi-dps/3035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Company>n</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2017-07-26T11:08:00Z</dcterms:created>
  <dcterms:modified xsi:type="dcterms:W3CDTF">2017-07-26T11:08:00Z</dcterms:modified>
</cp:coreProperties>
</file>